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" w:type="dxa"/>
        <w:gridCol w:w="4400" w:type="dxa"/>
      </w:tblGrid>
      <w:tblPr>
        <w:tblW w:w="5000" w:type="pct"/>
        <w:tblLayout w:type="autofit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00" w:type="dxa"/>
          </w:tcPr>
          <w:p>
            <w:pPr>
              <w:jc w:val="left"/>
            </w:pPr>
            <w:r>
              <w:pict>
                <v:shape type="#_x0000_t75" style="width:110pt; height:30pt; margin-left:-1pt; margin-top:-1pt; mso-position-horizontal:left; mso-position-vertical:top; mso-position-horizontal-relative:char;">
                  <w10:wrap type="square"/>
                  <v:imagedata r:id="rId7" o:title=""/>
                </v:shape>
              </w:pict>
            </w:r>
          </w:p>
        </w:tc>
        <w:tc>
          <w:tcPr>
            <w:tcW w:w="4400" w:type="dxa"/>
          </w:tcPr>
          <w:p>
            <w:pPr>
              <w:spacing w:before="0" w:after="0" w:line="288" w:lineRule="auto"/>
            </w:pPr>
            <w:r>
              <w:rPr>
                <w:sz w:val="20"/>
                <w:szCs w:val="20"/>
              </w:rPr>
              <w:t xml:space="preserve">Официальная правовая информация.
</w:t>
            </w:r>
          </w:p>
          <w:p>
            <w:pPr/>
            <w:r>
              <w:rPr>
                <w:sz w:val="20"/>
                <w:szCs w:val="20"/>
              </w:rPr>
              <w:t xml:space="preserve">Информационно-поисковая система ”ЭТАЛОН-ONLINE“, 06.01.2026
 Национальный центр законодательства и правовой информации Республики Беларусь</w:t>
            </w:r>
          </w:p>
        </w:tc>
      </w:tr>
    </w:tbl>
    <w:p/>
    <w:p>
      <w:pPr>
        <w:jc w:val="center"/>
        <w:ind w:left="0" w:right="0" w:firstLine="0"/>
        <w:spacing w:after="60"/>
      </w:pPr>
      <w:r>
        <w:rPr>
          <w:sz w:val="24"/>
          <w:szCs w:val="24"/>
          <w:caps/>
        </w:rPr>
        <w:t xml:space="preserve">ПОСТАНОВЛЕНИЕ </w:t>
      </w:r>
      <w:r>
        <w:rPr>
          <w:sz w:val="24"/>
          <w:szCs w:val="24"/>
          <w:caps/>
        </w:rPr>
        <w:t xml:space="preserve">МИНИСТЕРСТВА ЮСТИЦИИ РЕСПУБЛИКИ БЕЛАРУСЬ</w:t>
      </w:r>
    </w:p>
    <w:p>
      <w:pPr>
        <w:jc w:val="center"/>
        <w:ind w:left="0" w:right="0" w:firstLine="0"/>
        <w:spacing w:after="60"/>
      </w:pPr>
      <w:r>
        <w:rPr>
          <w:sz w:val="24"/>
          <w:szCs w:val="24"/>
        </w:rPr>
        <w:t xml:space="preserve">6 февраля 2019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19</w:t>
      </w:r>
    </w:p>
    <w:p>
      <w:pPr>
        <w:spacing w:before="240" w:after="240"/>
      </w:pPr>
      <w:r>
        <w:rPr>
          <w:sz w:val="28"/>
          <w:szCs w:val="28"/>
          <w:b/>
          <w:bCs/>
        </w:rPr>
        <w:t xml:space="preserve">Об утверждении Инструкции о порядке работы с электронными документами в государственных органах, иных организациях</w:t>
      </w:r>
    </w:p>
    <w:p>
      <w:pPr>
        <w:ind w:left="1021.000005" w:right="0"/>
        <w:spacing w:after="60"/>
      </w:pPr>
      <w:r>
        <w:rPr>
          <w:sz w:val="24"/>
          <w:szCs w:val="24"/>
        </w:rPr>
        <w:t xml:space="preserve">Изменения и дополнения: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Постановление Министерства юстиции Республики Беларусь от 30 августа 2022 г. № 117 (зарегистрировано в Национальном реестре - № 8/38671 от 02.09.2022 г.)</w:t>
      </w:r>
      <w:r>
        <w:rPr>
          <w:sz w:val="24"/>
          <w:szCs w:val="24"/>
        </w:rPr>
        <w:t xml:space="preserve">;</w:t>
      </w:r>
    </w:p>
    <w:p>
      <w:pPr>
        <w:jc w:val="both"/>
        <w:ind w:left="1133.8582677165" w:right="0" w:firstLine="566.92913385827"/>
        <w:spacing w:after="60"/>
      </w:pPr>
      <w:r>
        <w:rPr>
          <w:sz w:val="24"/>
          <w:szCs w:val="24"/>
        </w:rPr>
        <w:t xml:space="preserve">Постановление Министерства юстиции Республики Беларусь от 2 июля 2024 г. № 46 (зарегистрировано в Национальном реестре - № 8/41881 от 11.07.2024 г.)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 основании части первой статьи 26 Закона Республики Беларусь от 25 ноября 2011 г. № 323-З «Об архивном деле и делопроизводстве» Министерство юстиции Республики Беларусь ПОСТАНОВЛЯЕТ: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Утвердить Инструкцию о порядке работы с электронными документами в государственных органах, иных организациях (прилагается).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Признать утратившим силу постановление Министерства юстиции Республики Беларусь от 11 мая 2012 г. № 121 «Об утверждении Инструкции о порядке проведения экспертизы ценности и передачи на постоянное хранение документов в электронном виде и информационных ресурсов и о признании утратившим силу постановления Министерства юстиции Республики Беларусь от 30 июня 2010 г. № 37».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Настоящее постановление вступает в силу с 18 февраля 2019 г.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tbl>
      <w:tblGrid>
        <w:gridCol w:w="2500" w:type="dxa"/>
        <w:gridCol w:w="2500" w:type="dxa"/>
      </w:tblGrid>
      <w:tblPr>
        <w:tblW w:w="5000" w:type="pct"/>
        <w:tblLayout w:type="autofit"/>
      </w:tblPr>
      <w:tr>
        <w:trPr/>
        <w:tc>
          <w:tcPr>
            <w:tcW w:w="2500" w:type="pct"/>
            <w:vAlign w:val="bottom"/>
            <w:vMerge w:val="restart"/>
          </w:tcPr>
          <w:p>
            <w:pPr>
              <w:jc w:val="lef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Министр</w:t>
            </w:r>
          </w:p>
        </w:tc>
        <w:tc>
          <w:tcPr>
            <w:tcW w:w="2500" w:type="pct"/>
            <w:vAlign w:val="bottom"/>
            <w:vMerge w:val="restart"/>
          </w:tcPr>
          <w:p>
            <w:pPr>
              <w:jc w:val="right"/>
              <w:ind w:left="0" w:right="0" w:firstLine="0"/>
              <w:spacing w:after="60"/>
            </w:pPr>
            <w:r>
              <w:rPr>
                <w:sz w:val="22"/>
                <w:szCs w:val="22"/>
                <w:b/>
                <w:bCs/>
              </w:rPr>
              <w:t xml:space="preserve">О.Л.Слижевский</w:t>
            </w:r>
          </w:p>
        </w:tc>
      </w:tr>
    </w:tbl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750" w:type="dxa"/>
        <w:gridCol w:w="1250" w:type="dxa"/>
      </w:tblGrid>
      <w:tblPr>
        <w:tblW w:w="5000" w:type="pct"/>
        <w:tblLayout w:type="autofit"/>
      </w:tblPr>
      <w:tr>
        <w:trPr/>
        <w:tc>
          <w:tcPr>
            <w:tcW w:w="3750" w:type="pct"/>
            <w:vAlign w:val="top"/>
            <w:vMerge w:val="restart"/>
          </w:tcPr>
          <w:p>
            <w:pPr>
              <w:spacing w:after="60"/>
            </w:pPr>
            <w:r>
              <w:rPr>
                <w:sz w:val="22"/>
                <w:szCs w:val="22"/>
              </w:rPr>
              <w:t xml:space="preserve"> </w:t>
            </w:r>
          </w:p>
        </w:tc>
        <w:tc>
          <w:tcPr>
            <w:tcW w:w="1250" w:type="pct"/>
            <w:vAlign w:val="top"/>
            <w:vMerge w:val="restart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УТВЕРЖДЕНО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Постановление</w:t>
            </w:r>
            <w:br/>
            <w:r>
              <w:rPr>
                <w:sz w:val="22"/>
                <w:szCs w:val="22"/>
              </w:rPr>
              <w:t xml:space="preserve">Министерства юстиции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06.02.2019 № 19</w:t>
            </w:r>
          </w:p>
        </w:tc>
      </w:tr>
    </w:tbl>
    <w:p>
      <w:pPr>
        <w:spacing w:before="240" w:after="240"/>
      </w:pPr>
      <w:r>
        <w:rPr>
          <w:sz w:val="24"/>
          <w:szCs w:val="24"/>
          <w:b/>
          <w:bCs/>
        </w:rPr>
        <w:t xml:space="preserve">ИНСТРУКЦИЯ</w:t>
      </w:r>
      <w:br/>
      <w:r>
        <w:rPr>
          <w:sz w:val="24"/>
          <w:szCs w:val="24"/>
          <w:b/>
          <w:bCs/>
        </w:rPr>
        <w:t xml:space="preserve">о порядке работы с электронными документами в государственных органах, иных организациях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1</w:t>
      </w:r>
      <w:br/>
      <w:r>
        <w:rPr>
          <w:sz w:val="24"/>
          <w:szCs w:val="24"/>
          <w:b/>
          <w:bCs/>
          <w:caps/>
        </w:rPr>
        <w:t xml:space="preserve">ОБЩИЕ ПОЛОЖЕНИЯ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1. Настоящая Инструкция определяет порядок работы с электронными документами (далее, если не установлено иное, – ЭД) в государственных органах, иных организациях независимо от формы собственности и организационно-правовой формы (далее – организации) с использованием автоматизированной системы документационного обеспечения управления (далее, если не установлено иное, – АС ДОУ), а в случаях, определенных настоящей Инструкцией, – в иных информационных системах организаций.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Положения настоящей Инструкции в части документирования управленческой деятельности (составление, оформление, согласование проекта ЭД, его подписание, утверждение), а также регистрации и контроля исполнения ЭД распространяются на ЭД, относящиеся к системе организационно-распорядительной документации.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Положения настоящей Инструкции в части организации работы с документами (формирование электронных дел, оперативное хранение ЭД, подготовка ЭД к передаче в архив организации или уничтожению) распространяются на всю управленческую документацию (плановую, организационно-распорядительную, государственную статистическую отчетность, расчетно-денежную и другие).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2. Для целей настоящей Инструкции используются термины и их определения в значениях, установленных Законом Республики Беларусь от 28 декабря 2009 г. № 113-З «Об электронном документе и электронной цифровой подписи».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3. В части требований, не установленных настоящей Инструкцией, применяется Инструкция по делопроизводству в государственных органах, иных организациях, утвержденная постановлением Министерства юстиции Республики Беларусь от 19 января 2009 г. № 4.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4. Порядок работы с ЭД в организации определяется локальными правовыми актами, утвержденными руководителем организации, после согласования с государственным архивом, источником комплектования которого является организация, или структурным подразделением по архивам и делопроизводству областного (Минского городского) исполнительного комитета.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Организации, не являющиеся источниками комплектования государственных архивов, согласовывают локальный правовой акт о порядке работы с электронными документами с Центральной экспертной комиссией (далее – ЦЭК) вышестоящей организации (при ее наличии).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5. ЭД состоит из двух неотъемлемых частей – общей и особенной.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Общая часть ЭД состоит из информации, составляющей содержание документа, в том числе реквизитов документа, формируемых до момента выработки электронной цифровой подписи (далее – ЭЦП).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Особенная часть ЭД состоит из одной или нескольких ЭЦП лица (лиц), подписавшего (подписавших) ЭД. Каждая ЭЦП представляет собой отдельный файл (информационный объект), формат и структура которого установлены техническими нормативными правовыми актами.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Особенная часть ЭД может содержать штамп времени, а также дополнительные данные, необходимые для проверки ЭЦП и идентификации ЭД, которые устанавливаются техническими нормативными правовыми актами.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6. Особенная часть ЭД поддерживается средствами АС ДОУ и (или) располагается в отдельных файлах.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7. Исключен.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8. Исключен.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9. Подписание общей части ЭД и проверка ЭЦП ЭД осуществляются путем применения сертифицированных средств ЭЦП с применением личного или открытого ключа.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</w:t>
      </w:r>
      <w:r>
        <w:rPr>
          <w:sz w:val="24"/>
          <w:szCs w:val="24"/>
          <w:vertAlign w:val="superscript"/>
        </w:rPr>
        <w:t xml:space="preserve">1</w:t>
      </w:r>
      <w:r>
        <w:rPr>
          <w:sz w:val="24"/>
          <w:szCs w:val="24"/>
        </w:rPr>
        <w:t xml:space="preserve">. Функционирующая в организации АС ДОУ должна поддерживать единый процесс работы с ЭД и включать в себя: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подготовку проектов ЭД с оформлением установленных реквизитов;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согласование проектов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представление проектов ЭД на подпись (утверждение) руководителю;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регистрацию и контроль исполнения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защиту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поиск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организацию оперативного хранения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формирование электронных дел;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передачу ЭД на хранение в архив организации;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уничтожение ЭД, не подлежащих хранению.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2</w:t>
      </w:r>
      <w:br/>
      <w:r>
        <w:rPr>
          <w:sz w:val="24"/>
          <w:szCs w:val="24"/>
          <w:b/>
          <w:bCs/>
          <w:caps/>
        </w:rPr>
        <w:t xml:space="preserve">ИСКЛЮЧЕНА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10–12. Исключены.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3</w:t>
      </w:r>
      <w:br/>
      <w:r>
        <w:rPr>
          <w:sz w:val="24"/>
          <w:szCs w:val="24"/>
          <w:b/>
          <w:bCs/>
          <w:caps/>
        </w:rPr>
        <w:t xml:space="preserve">ОРГАНИЗАЦИЯ ЭЛЕКТРОННОГО ДОКУМЕНТООБОРОТА. РЕГИСТРАЦИОННО-КОНТРОЛЬНАЯ КАРТОЧКА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13. Электронный документооборот организации осуществляется в рамках АС ДОУ.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14. Исключен.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15. Доставка ЭД в другие организации осуществляется посредством: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электронной почты (в качестве вложения);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информационной системы ведомственного (корпоративного) или межведомственного электронного документооборота государственных органов Республики Беларусь (в рамках информационного пакета, формат и структура которого определяются регламентом информационной системы);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единого портала электронных услуг общегосударственной автоматизированной информационной системы.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Структура сообщения электронной почты или информационного пакета обеспечивает доставку ЭД и обязательных реквизитов регистрационно-контрольной карточки (далее – РКК). Состав, правила заполнения обязательных реквизитов РКК для входящих, исходящих и внутренних ЭД определены согласно приложению.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Состав реквизитов РКК может быть дополнен реквизитами «Ход исполнения», «Отметка о согласовании проекта», «Отметка о контроле», «Отметка об ознакомлении», «Наличие приложений» и другими.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16. Исключен.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17. Исключен.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18. Исключен.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4</w:t>
      </w:r>
      <w:br/>
      <w:r>
        <w:rPr>
          <w:sz w:val="24"/>
          <w:szCs w:val="24"/>
          <w:b/>
          <w:bCs/>
          <w:caps/>
        </w:rPr>
        <w:t xml:space="preserve">ОБЕСПЕЧЕНИЕ ЦЕЛОСТНОСТИ И СОХРАННОСТИ ЭЛЕКТРОННЫХ ДОКУМЕНТОВ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19. Для предотвращения хищения, утраты, искажения, подделки документов, других несанкционированных действий с документами в организации обеспечивается защита документов на протяжении всего их жизненного цикла посредством комплексного применения программно-технических средств и организационных мероприятий по защите информации.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20. Организации разрабатывают в соответствии с законодательством об информации, информатизации и защите информации локальные правовые акты, регламентирующие вопросы организации защиты информации, включая: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управление процессом доступа к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протоколирование работы исполнителей с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организацию резервного копирования и восстановление данных.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21. Управление процессом доступа включает в себя: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категорирование ЭД по уровню доступа;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установление прав доступа исполнителей к ЭД в соответствии с функциональными обязанностями;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делегирование прав исполнителям в отношении возможных действий, производимых с ЭД и проектами ЭД (ознакомление, редактирование, визирование, подписание).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Управление процессом доступа осуществляется совместно с работниками службы документационного обеспечения управления и структурного подразделения, в функции которого входят вопросы информационных технологий.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22. Протоколирование событий, происходящих при работе исполнителей с ЭД в АС ДОУ, обеспечивается посредством ведения журнала событий.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журнале событий фиксируется информация: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обо всех действиях, производимых с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 исполнителе, выполнявшем действие;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 дате и времени действия;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 нарушениях (попытках нарушений) установленного порядка доступа.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Внесение информации в журнал событий осуществляется автоматически без вмешательства работников организации в течение всего жизненного цикла ЭД. При этом данные журнала событий защищаются от модификации и удаления средствами АС ДОУ.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Право управлять настройками ведения журнала событий предоставляется ответственному лицу (системный администратор, работник структурного подразделения, в функции которого входят вопросы информационных технологий) в соответствии с локальным правовым актом организации, определяющим политику безопасности.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23. В организации разрабатывается график выполнения процедур резервного копирования ЭД, которое осуществляется средствами АС ДОУ.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24. В АС ДОУ осуществляется аудит информационной безопасности, который включает в себя сбор и анализ информации, относящейся к вопросам защиты, контроль использования средств защиты и происходящих событий, анализ защищенности АС ДОУ, разработку предложений по повышению уровня защиты информации.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5</w:t>
      </w:r>
      <w:br/>
      <w:r>
        <w:rPr>
          <w:sz w:val="24"/>
          <w:szCs w:val="24"/>
          <w:b/>
          <w:bCs/>
          <w:caps/>
        </w:rPr>
        <w:t xml:space="preserve">ПОДГОТОВКА И СОГЛАСОВАНИЕ ПРОЕКТА ЭЛЕКТРОННОГО ДОКУМЕНТА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25. Исключен.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26. Исключен.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27. Форматы файлов, в которых сохраняется общая часть ЭД, должны обеспечивать воспроизведение формы внешнего представления ЭД на всех этапах их обработки и хранения.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Файлы общей части внутренних ЭД организации постоянного, временного (свыше 10 лет) хранения или с отметкой «ЭПК», включая приложения, должны быть представлены в формате Portable Document Format (PDF/A1 или PDF/A2).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Файлы общей части ЭД, включая приложения, направляемые в сторонние организации, должны быть представлены в формате Portable Document Format (PDF/A1 или PDF/A2).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28. Исключен.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29. Состав, порядок расположения и оформление реквизитов, включаемых в общую часть проекта ЭД, соответствуют составу, порядку расположения и оформлению реквизитов документов на бумажном носителе, установленным Инструкцией по делопроизводству в государственных органах, иных организациях, если иное не установлено настоящей Инструкцией.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Реквизит «Изображение Государственного герба Республики Беларусь» в проекте ЭД не оформляется.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30. В реквизитах «Подпись», «Гриф утверждения» (при утверждении должностным лицом), «Гриф согласования» (при согласовании должностным лицом) указываются наименование должности лица, которое будет подписывать, утверждать, согласовывать ЭД, его инициалы и фамилия.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31. Допускается включение в общую часть проекта ЭД составных частей реквизитов «Дата документа» и «Регистрационный индекс», известных до подписания ЭД (месяц и год, индекс дела по номенклатуре дел).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Реквизиты «Дата документа» и «Регистрационный индекс документа» включаются в РКК.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32. Значение реквизита «Ссылка на регистрационный индекс и дату входящего документа» вносится в общую часть проекта ЭД и в РКК.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33. Если ЭД предназначен для отправки по электронной почте, в реквизите «Адресат» указывается официальный адрес электронной почты организации-адресата или адрес электронной почты гражданина.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Официальным адресом электронной почты организации является адрес, указанный на ее бланке.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Если ЭД предназначен для отправки посредством информационной системы ведомственного (корпоративного) или межведомственного электронного документооборота государственных органов Республики Беларусь, адрес электронной почты организации-адресата не указывается.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34. В реквизите «Отметка о наличии приложения» дополнительно указываются имя и расширение файла, содержащего приложение.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35. Внутреннее согласование проекта ЭД (визирование) осуществляется с использованием средств АС ДОУ. Лица, осуществляющие согласование проекта ЭД, получают доступ к нему после авторизации и идентификации в АС ДОУ.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 доработки проекта ЭД он повторно направляется на согласование.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Отметка о согласовании (виза) включается в РКК или оформляется отдельным листом согласования с использованием средств АС ДОУ.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Сведения о лицах, согласовавших проект ЭД (наименования должностей служащих, инициалы, фамилии), и даты согласования средствами АС ДОУ вносятся в РКК.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случаях, если согласование проекта ЭД осуществляется путем подписания общей части проекта ЭД, ЭЦП включаются в особенную часть проекта ЭД.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36. Внешнее согласование проекта ЭД осуществляется путем рассылки проекта ЭД в согласующие организации. Согласование проекта ЭД осуществляется посредством подписания общей части проекта ЭД ЭЦП лица, согласующего документ, либо письмом.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первом случае проект ЭД согласовывается путем его подписания ЭЦП лица, уполномоченного осуществлять согласование. Согласованный проект направляется в организацию, его подготовившую. После получения от согласующих организаций согласованных проектов общая часть проекта ЭД подписывается (утверждается) лицом, уполномоченным на его подписание (утверждение). Все ЭЦП включаются в особенную часть ЭД или формируется лист согласования с использованием средств АС ДОУ. Сведения о лицах, согласовавших проект ЭД (наименования должностей служащих, инициалы, фамилии), и даты согласования вносятся в РКК средствами АС ДОУ.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Во втором случае согласующая организация направляет письмо о согласовании, подписанное ЭЦП уполномоченного лица. После получения писем о согласовании от всех согласующих организаций в проект общей части ЭД вносятся сведения об их датах и регистрационных индексах. Проект ЭД подписывается (утверждается) лицом, уполномоченным на его подписание (утверждение). Сведения о лицах, подписавших письма о согласовании (наименования должностей служащих, инициалы, фамилии), и даты согласования вносятся в РКК средствами АС ДОУ.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случае доработки проекта ЭД по замечаниям организаций, осуществляющих согласование проекта ЭД, он повторно направляется на согласование.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37. Исключен.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6</w:t>
      </w:r>
      <w:br/>
      <w:r>
        <w:rPr>
          <w:sz w:val="24"/>
          <w:szCs w:val="24"/>
          <w:b/>
          <w:bCs/>
          <w:caps/>
        </w:rPr>
        <w:t xml:space="preserve">ПОДПИСАНИЕ, РЕГИСТРАЦИЯ И КОНТРОЛЬ ИСПОЛНЕНИЯ ЭЛЕКТРОННЫХ ДОКУМЕНТОВ. ПЕРВИЧНАЯ ОБРАБОТКА ВХОДЯЩИХ ЭЛЕКТРОННЫХ ДОКУМЕНТОВ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38. Подписание ЭД осуществляется путем выработки ЭЦП с применением личного ключа, владельцем которого является лицо, указанное в общей части ЭД в реквизите «Подпись». ЭЦП, владельцем личного ключа которой является организация, может применяться в качестве аналога оттиска печати данной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39. При подписании ЭД средствами АС ДОУ контролируется действительность на момент подписания сертификата открытого ключа и в необходимых случаях атрибутного сертификата, соответствующих личному ключу подписывающего лица. Сведения о лице, подписавшем ЭД (наименование должности служащего, инициалы, фамилия), средствами АС ДОУ вносятся в РКК.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40. Регистрации подлежат входящие, исходящие и внутренние ЭД, требующие учета и исполнения.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41. Регистрация входящих, исходящих и внутренних ЭД в организации осуществляется централизованно в службе документационного обеспечения управления.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Децентрализованная регистрация ЭД допускается при территориальной разобщенности структурных подразделений организации. Децентрализованной регистрации подлежат также отдельные категории ЭД, регистрируемые в структурных подразделениях организации согласно разрабатываемому службой документационного обеспечения управления и утверждаемому руководителем организации перечню документов, не подлежащих регистрации службой документационного обеспечения управления (первичная учетная документация, документация по материально-техническому обеспечению и др.).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42. Для регистрации всех категорий входящих, исходящих и внутренних ЭД заполняется РКК.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43. Исходящие ЭД, в том числе отправляемые по системе межведомственного электронного документооборота государственных органов Республики Беларусь, регистрируются в службе документационного обеспечения управления в день их подписания ЭЦП руководителем организации или иными уполномоченными лицами в соответствии с их компетенцией, а ЭД, подписанные в нерабочий день (нерабочее время), регистрируются не позднее чем в первый следующий за ним рабочий день.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44. В процессе регистрации исходящих и внутренних ЭД формируются с использованием средств АС ДОУ реквизиты «Дата документа», «Регистрационный индекс» и вносятся в РКК.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45. Прием и регистрация входящих ЭД производятся посредством АС ДОУ службой документационного обеспечения управления в день поступления. В процессе регистрации осуществляется проверка действительности ЭЦП с помощью сертификата открытого ключа, идентификатор которого указан в особенной части ЭД.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ЭД, поступившие в организацию в нерабочий день (нерабочее время), регистрируются не позднее чем в первый следующий за ним рабочий день.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случаях недействительности ЭЦП или несоответствия сведений о лице, подписавшем ЭД, содержащихся в общей и особенной частях ЭД, несоответствия форматов файлов установленным требованиям формируется уведомление об отказе в регистрации, которое высылается в адрес организации или лица, приславших ЭД.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Реквизит «Отметка о поступлении» (дата и регистрационный индекс поступления) формируется средствами АС ДОУ после успешной проверки ЭЦП и вносится в РКК. Если входящий ЭД является ответом на исходящий ЭД организации, между ними устанавливаются связки средствами АС ДОУ.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46. Вспомогательные электронные сообщения, включая сообщения электронной почты без вложенного ЭД, не регистрируются и хранятся получателем до минования надобности. Регламент работы организации может предусматривать направление в дело электронных сообщений, важных для понимания обстоятельств принимаемого управленческого решения или способных служить доказательством деловой деятельности.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47. Реквизит «Резолюция» вырабатывается с использованием средств АС ДОУ и может оформляться как текст в РКК либо листом резолюции, подписываемым ЭЦП с применением личного ключа, владельцем которого является автор резолюции, содержание которой переносится в РКК.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48. Реквизит «Отметка о контроле» ЭД вырабатывается с использованием средств АС ДОУ и вносится в РКК.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49. Отметка об ознакомлении вырабатывается с использованием средств АС ДОУ после авторизации и идентификации лица, которому предоставляется доступ к ЭД.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Отметки об ознакомлении вносятся в РКК или оформляются листом ознакомления в виде отдельного текстового файла.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случаях, предусмотренных локальным правовым актом организации, в качестве отметки об ознакомлении может применяться ЭЦП, выработанная по общей части ЭД, с которым производится ознакомление, с применением личного ключа, владельцем которого является подлежащее ознакомлению лицо. В этих случаях ЭЦП включаются в особенную часть ЭД.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качестве отметки об ознакомлении может применяться иной аналог собственноручной подписи подлежащего ознакомлению лица, вырабатываемый средствами АС ДОУ.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50. Пересылка ЭД, полученного из другой организации, осуществляется в порядке поручения или для сведения.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Пересылка в порядке поручения осуществляется в виде приложения к сопроводительному ЭД организации, в котором излагается поручение. Сопроводительный ЭД может представлять собой лист резолюции, оформленный как ЭД. При этом в сообщение электронной почты или информационный пакет включаются общие и особенные части пересылаемого и сопроводительного ЭД, включая обязательные реквизиты РКК.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пересылке для сведения пересылаемый ЭД, включая общую и особенную части, сопровождается вспомогательным электронным сообщением, которое не подписывается ЭЦП.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51. Реквизит «Отметка об исполнении документа и направлении его в дело» вносится в РКК средствами АС ДОУ с участием лица, завершившего исполнение ЭД. При этом устанавливается связка ответного документа с инициативным.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52. ЭД снимается с контроля после его исполнения. Сведения об исполнении вносятся в РКК.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7</w:t>
      </w:r>
      <w:br/>
      <w:r>
        <w:rPr>
          <w:sz w:val="24"/>
          <w:szCs w:val="24"/>
          <w:b/>
          <w:bCs/>
          <w:caps/>
        </w:rPr>
        <w:t xml:space="preserve">УДОСТОВЕРЕНИЕ И ПРИМЕНЕНИЕ ЭЛЕКТРОННЫХ КОПИЙ ДОКУМЕНТОВ НА БУМАЖНОМ НОСИТЕЛЕ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53. В делопроизводстве организации могут создаваться и использоваться электронные копии документов на бумажном носителе, удостоверенные в соответствии с требованиями законодательства в сфере архивного дела и делопроизводства (далее – электронные копии).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Электронная копия применяется взамен документа на бумажном носителе, созданного в самой организации или полученного ею: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исполнении документа с использованием средств АС ДОУ;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отправке посредством электронной почты, информационной системы ведомственного (корпоративного) или межведомственного электронного документооборота государственных органов Республики Беларусь.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54. Поступившая электронная копия приравнивается к ЭД и подлежит регистрации, исполнению и хранению в порядке, предусмотренном настоящей Инструкцией. При этом досылка оригинала на бумажном носителе не требуется.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Порядок изготовления, удостоверения и использования электронных копий закрепляется локальным правовым актом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55. Процесс изготовления электронных копий включает: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создание электронных отображений документов на бумажном носителе, соответствующих оригиналу (далее – электронные отображения);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контроль качества полученных электронных отображений;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удостоверение электронных копий.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Созданные электронные копии подлежат учету.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56. Исключен.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57. Создание электронных отображений осуществляется путем фотокопирования (сканирования) оригиналов документов на бумажном носителе (после их регистрации средствами АС ДОУ) и сохранения на электронный носитель файлов в графическом формате.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58. Процесс фотокопирования (сканирования) должен обеспечивать получение электронных отображений, содержащих четко различимые текст, изображения (при наличии) и все внешние особенности оригинала.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Каждый лист документа располагается строго вертикально или горизонтально. Должны быть видны все края листа. Обороты листов оригинала, не содержащие текста или изображений, копируются, если на них имеются какие-либо пометки, оттиски штампов, нумерация.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Не допускается наличие посторонних предметов, скрывающих часть листа, и эффектов, возникших в процессе сканирования (бликов, густых теней, муара и другие эффекты).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Если оригинал изготовлен в черно-белом изображении на белом фоне, электронное отображение может быть черно-белым. Если оригинал содержит элементы иных цветов (пометки, подписи, оттиски печатей, логотипы, изображение Государственного герба и другие элементы) и (или) цветной фон, электронное отображение должно быть цветным.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59. При сохранении электронных отображений в виде файлов в графическом формате каждому файлу присваивается уникальное имя, позволяющее однозначно соотнести его с оригиналом документа на бумажном носителе, как правило – путем включения в имя файла регистрационного индекса документа.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60. Контроль качества электронных отображений проводится с помощью тестовых программных средств (при их наличии) и визуально, путем сличения с оригиналом. При этом проверяются: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наличие электронных отображений для каждой страницы оригинала, включая обороты с пометками, оттиски штампов, нумерация;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соответствие каждого электронного отображения требованиям, установленным настоящей Инструкцией.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низком качестве отображения проводится повторное фотокопирование (сканирование).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61. Перед удостоверением электронной копии электронные отображения всех страниц оригинала должны быть преобразованы в один файл в формате PDF/A1 или PDF/A2, если изначально они были созданы в ином графическом формате. В один файл могут быть включены основной документ и приложения, а также электронное отображение резолюции, выполненной на отдельном листе.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62. Удостоверение электронной копии осуществляется путем подписания ЭЦП с применением личного ключа лица, изготовившего электронные отображения и проверившего их качество. По решению руководителя организации электронная копия дополнительно может удостоверяться ЭЦП с применением личного ключа, владельцем которого является организация.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Лицо (лица), уполномоченное организацией удостоверять электронную копию, определяется локальным правовым актом.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63. Учет электронных копий ведется путем внесения соответствующих сведений в РКК документа, для которого создана электронная копия.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РКК документа вносятся: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дата изготовления электронной копии;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имя файла;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наименование должности служащего, инициалы и фамилия лица, изготовившего электронную копию.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Сведения об электронной копии, включаемые в РКК, наносятся на оригинал документа на бумажном носителе на нижнем поле (при отсутствии свободного места – на обороте) первого листа документа штампом, вручную либо в виде штрих-кода. При наличии электронного отображения документа на бумажном носителе проставляется отметка «Создано электронное отображение», при наличии электронной копии – отметка «Создана электронная копия».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64. Создание электронной копии текстового документа может дополняться распознаванием текста и созданием текстового файла, который носит вспомогательный характер и не является частью электронной копии. Порядок работы с такими текстовыми файлами, их учета и хранения определяется локальным правовым актом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65. Электронные копии находятся на оперативном хранении в течение сроков, предусмотренных для документов на бумажном носителе, с которых они изготовлены. При передаче оригиналов на хранение в архив организация самостоятельно определяет целесообразность передачи электронных копий в архив или их уничтожения.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66. Хранение и уничтожение электронных копий соответствует требованиям, установленным настоящей Инструкцией в отношении ЭД.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67. Документы на бумажном носителе, не подлежащие передаче на хранение в архив организации, после создания их электронных копий и организации их надежного хранения допускается уничтожать в порядке, установленном Инструкцией по делопроизводству в государственных органах, иных организациях.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8</w:t>
      </w:r>
      <w:br/>
      <w:r>
        <w:rPr>
          <w:sz w:val="24"/>
          <w:szCs w:val="24"/>
          <w:b/>
          <w:bCs/>
          <w:caps/>
        </w:rPr>
        <w:t xml:space="preserve">ФОРМИРОВАНИЕ ЭЛЕКТРОННЫХ И ГИБРИДНЫХ ДЕЛ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68. Исполненные ЭД формируются в электронные или гибридные дела в соответствии с номенклатурой дел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Включению в номенклатуру дел организации подлежат все электронные и гибридные дела, формируемые в АС ДОУ, иных информационных системах организации, в которых создаются и (или) в которые включаются ЭД, в том числе: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документы индивидуального (персонифицированного) учета застрахованных лиц в системе государственного социального страхования;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документы государственной статистической отчетности, представляемой в территориальные органы государственной статистики;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документы, представляемые в территориальные органы государственного казначейства;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документы, представляемые в налоговые органы;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документы по процедурам государственных закупок товаров (работ, услуг);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документы, созданные в автоматизированной системе межбанковских расчетов Национального банка;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иные управленческие документы.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Электронные и гибридные дела включаются в номенклатуру дел организации в соответствии с требованиями Инструкции по делопроизводству в государственных органах, иных организациях.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Сроки хранения ЭД идентичны срокам хранения аналогичных документов на бумажном носителе.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69. ЭД включаются в электронные и гибридные дела средствами АС ДОУ и представляют собой совокупность исполненных ЭД и их РКК.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ЭД, образовавшиеся в иных информационных системах, формируются в электронные дела в соответствии с регламентами работы этих информационных систем с учетом требований настоящей Инструкции. Наличие РКК и состав реквизитов РКК для этих документов также определяется регламентами работы этих систем.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70. При помещении ЭД в электронное дело проверяется правильность и полнота заполнения всех обязательных реквизитов РКК, комплектность файлов ЭД.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71. Электронные дела формируются за один календарный (делопроизводственный) год. Допускается формирование переходящих электронных дел. В переходящие электронные дела ЭД группируются по вопросам, разрешаемым в течение двух и более лет. В номенклатуре дел для таких электронных дел в графе 5 «Примечание» делается отметка «ЭД» и дополняется словом «Переходящее».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72. ЭД постоянного, временного (свыше 10 лет), временного (до 10 лет) хранения группируются в отдельные электронные дела.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73. В делопроизводстве организации могут формироваться гибридные дела постоянного, временного (свыше 10 лет), временного (до 10 лет) хранения, содержащие ЭД и документы на бумажном носителе.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Гибридные дела временного (до 10 лет) хранения, которые не передаются в архив организации, после окончания делопроизводственного года не подлежат полному оформлению и хранятся в течение установленных сроков хранения.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Гибридные дела постоянного и временного хранения, которые передаются в архив организации, по окончании календарного (делопроизводственного) года подлежат полному оформлению в два самостоятельных дела: документы на бумажном носителе формируются в дело с документами на бумажном носителе, ЭД формируются в электронное дело. Указанным делам присваивается один индекс и заголовок согласно номенклатуре дел.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9</w:t>
      </w:r>
      <w:br/>
      <w:r>
        <w:rPr>
          <w:sz w:val="24"/>
          <w:szCs w:val="24"/>
          <w:b/>
          <w:bCs/>
          <w:caps/>
        </w:rPr>
        <w:t xml:space="preserve">ОПЕРАТИВНОЕ ХРАНЕНИЕ ЭЛЕКТРОННЫХ ДОКУМЕНТОВ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74. На оперативном хранении в АС ДОУ, иных информационных системах в организации находятся: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неисполненные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исполненные ЭД временного (до 10 лет) хранения, если не принято решение об их передаче в архив организации;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исполненные ЭД временного (свыше 10 лет) и постоянного хранения до передачи их в архив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74</w:t>
      </w:r>
      <w:r>
        <w:rPr>
          <w:sz w:val="24"/>
          <w:szCs w:val="24"/>
          <w:vertAlign w:val="superscript"/>
        </w:rPr>
        <w:t xml:space="preserve">1</w:t>
      </w:r>
      <w:r>
        <w:rPr>
          <w:sz w:val="24"/>
          <w:szCs w:val="24"/>
        </w:rPr>
        <w:t xml:space="preserve">. Электронные дела временного (до 10 лет) хранения в течение всего срока остаются на оперативном хранении в рамках АС ДОУ, иной информационной системы, в которой они были созданы или в которую они были включены.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74</w:t>
      </w:r>
      <w:r>
        <w:rPr>
          <w:sz w:val="24"/>
          <w:szCs w:val="24"/>
          <w:vertAlign w:val="superscript"/>
        </w:rPr>
        <w:t xml:space="preserve">2</w:t>
      </w:r>
      <w:r>
        <w:rPr>
          <w:sz w:val="24"/>
          <w:szCs w:val="24"/>
        </w:rPr>
        <w:t xml:space="preserve">. Электронные дела временного (свыше 10 лет) и постоянного хранения передаются в архив организации в сроки, установленные для документов на бумажных носителях.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 решению руководителя организации допускается досрочная передача электронных дел временного (свыше 10 лет) и постоянного хранения в архив организации, а также передача в архив организации электронных дел временного (до 10 лет) хранения.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75. При оперативном хранении ЭД средствами АС ДОУ обеспечивается: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систематизация ЭД и упорядочение работы с ними;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сохранность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поиск ЭД и санкционированный доступ к ним;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соблюдение сроков хранения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обеспечение режима защиты ЭД.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76.  Исключен.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77. Доступ к ЭД, находящимся на оперативном хранении, может предоставляться в пределах организации структурным подразделениям, другим организациям и гражданам в случаях, предусмотренных законодательством.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Доступ к ЭД сторонней организации производится на основании письменного запроса и резолюции руководителя организации, обеспечивающей доступ к ЭД.</w:t>
      </w:r>
    </w:p>
    <w:p>
      <w:pPr>
        <w:jc w:val="center"/>
        <w:spacing w:before="240" w:after="240"/>
      </w:pPr>
      <w:r>
        <w:rPr>
          <w:sz w:val="24"/>
          <w:szCs w:val="24"/>
          <w:b/>
          <w:bCs/>
          <w:caps/>
        </w:rPr>
        <w:t xml:space="preserve">ГЛАВА 10</w:t>
      </w:r>
      <w:br/>
      <w:r>
        <w:rPr>
          <w:sz w:val="24"/>
          <w:szCs w:val="24"/>
          <w:b/>
          <w:bCs/>
          <w:caps/>
        </w:rPr>
        <w:t xml:space="preserve">ПОДГОТОВКА ЭЛЕКТРОННЫХ ДОКУМЕНТОВ К ПЕРЕДАЧЕ В АРХИВ ОРГАНИЗАЦИИ И УНИЧТОЖЕНИЮ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78. Подготовка ЭД к передаче на хранение в архив организации включает: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экспертизу ценности ЭД;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подготовку электронных дел к передаче в архив организации;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составление описей электронных дел структурных подразделений.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79. Экспертиза ценности ЭД на этапе подготовки к передаче на хранение в архив организации проводится ЦЭК (экспертной комиссией (далее – ЭК)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80. По результатам экспертизы ценности составляются описи электронных дел постоянного, временного (свыше 10 лет) хранения и по личному составу структурных подразделений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Электронные дела временного (до 10 лет) хранения передаются в архив организации по описям электронных дел временного (до 10 лет) хранения структурного подразделения или по номенклатуре дел.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81. Опись электронных дел структурного подразделения организации формируется средствами АС ДОУ в виде ЭД по форме согласно приложению 2 к Правилам работы с документами в электронном виде в архивах государственных органов, иных организаций, утвержденным постановлением Министерства юстиции Республики Беларусь от 6 февраля 2019 г. № 20 (далее – Правила), и утверждается ЭЦП с применением личного ключа, владельцем которого является организация или руководитель структурного подразделения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При необходимости может создаваться экземпляр описи электронных дел на бумажном носителе.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82. При составлении описи электронных дел структурного подразделения соблюдаются следующие требования: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каждое электронное дело вносится в опись электронных дел структурного подразделения под самостоятельным порядковым номером;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порядок нумерации дел в описи электронных дел структурного подразделения – валовый;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заголовки электронных дел вносятся в опись электронных дел структурного подразделения в соответствии с принятой схемой систематизации на основе номенклатуры дел;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переходящие электронные дела, содержащие ЭД за несколько лет, включаются в опись дел по году завершения.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 конце описи электронных дел структурного подразделения после последней описательной статьи заполняется итоговая запись, в которой цифрами указываются количество электронных дел, включенных в опись, их первый и последний номера.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Описи электронных дел структурных подразделений имеют самостоятельные номера. Номер описи электронных дел структурного подразделения состоит из индекса структурного подразделения по номенклатуре дел организации, года, за который электронные дела включаются в опись, и буквенного обозначения «ЭД». К номеру описи электронных дел по личному составу добавляется буквенное обозначение «лс», к номеру описи электронных дел временного (свыше 10 лет) хранения – «в».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83. Описи электронных дел постоянного, временного (свыше 10 лет) хранения и по личному составу составляются в структурных подразделениях не позднее 31 декабря года, следующего за годом завершения электронных дел, под методическим руководством архива организации. Своевременное и качественное составление описей электронных дел структурного подразделения обеспечивает его руководитель.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84. Подготовка электронных дел к передаче в архив организации обеспечивает их включение в информационный пакет, формат которого определяется регламентом информационного взаимодействия между АС ДОУ и информационной системой архива организации.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85. При подготовке электронного дела к передаче в архив организации в его состав включаются ЭД, файлы РКК и при необходимости файлы листов согласования или ознакомления. На каждый ЭД и электронное дело формируются метаданные, предусмотренные Правилами.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Файлы РКК, листов согласования и ознакомления должны быть в формате PDF/A1 или PDF/A2.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86. В случаях, предусмотренных локальным правовым актом организации, электронные дела при подготовке к передаче в архив организации формируются таким образом, чтобы метаданные каждого ЭД (кроме первого) содержали контрольные характеристики предыдущего ЭД и его метаданных (однонаправленный связный список).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87. Для каждого электронного дела, подлежащего передаче в архив организации, работник структурного подразделения формирует средствами АС ДОУ внутреннюю опись электронного дела (далее – внутренняя опись) по форме, установленной Правилами.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Внутренняя опись включается в состав электронного дела в качестве самостоятельного ЭД, подписанного ЭЦП с применением личного ключа, владельцем которого является организация или работник структурного подразделения организации, создавший внутреннюю опись.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88. Исключен.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89. Отбор электронных дел к уничтожению в структурных подразделениях осуществляют ответственные за делопроизводство лица по результатам экспертизы ценности после согласования и утверждения в установленном порядке описей электронных дел постоянного хранения, по личному составу и временного (свыше 10 лет) хранения и годовых разделов сводных описей дел на бумажном носителе. По результатам экспертизы ценности ЭД, для которых принято решение об увеличении срока хранения, формируются в новое электронное дело. Для электронных дел, не подлежащих дальнейшему хранению, оформляется акт о выделении к уничтожению ЭД и электронных дел, не подлежащих хранению.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90. Электронные дела включаются в акт о выделении к уничтожению ЭД и электронных дел, не подлежащих хранению, составленный в виде ЭД, если установленный срок их хранения истек к 1 января года, в котором составлен данный акт. На выделенные к уничтожению электронные дела с отметкой «ЭПК» составляется отдельный акт о выделении к уничтожению ЭД и электронных дел, не подлежащих хранению.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/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/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0"/>
        <w:spacing w:after="60"/>
      </w:pPr>
      <w:r>
        <w:rPr>
          <w:sz w:val="24"/>
          <w:szCs w:val="24"/>
        </w:rPr>
        <w:t xml:space="preserve"> </w:t>
      </w:r>
    </w:p>
    <w:tbl>
      <w:tblGrid>
        <w:gridCol w:w="3258" w:type="dxa"/>
        <w:gridCol w:w="1742" w:type="dxa"/>
      </w:tblGrid>
      <w:tblPr>
        <w:tblW w:w="5000" w:type="pct"/>
        <w:tblLayout w:type="autofit"/>
      </w:tblPr>
      <w:tr>
        <w:trPr/>
        <w:tc>
          <w:tcPr>
            <w:tcW w:w="3258" w:type="pct"/>
            <w:vAlign w:val="top"/>
            <w:vMerge w:val="restart"/>
          </w:tcPr>
          <w:p>
            <w:pPr>
              <w:jc w:val="both"/>
              <w:ind w:left="0" w:right="0" w:firstLine="566.92913385827"/>
              <w:spacing w:after="60"/>
            </w:pPr>
            <w:r>
              <w:rPr>
                <w:sz w:val="24"/>
                <w:szCs w:val="24"/>
              </w:rPr>
              <w:t xml:space="preserve"> </w:t>
            </w:r>
          </w:p>
        </w:tc>
        <w:tc>
          <w:tcPr>
            <w:tcW w:w="1742" w:type="pct"/>
            <w:vAlign w:val="top"/>
            <w:vMerge w:val="restart"/>
          </w:tcPr>
          <w:p>
            <w:pPr>
              <w:spacing w:after="28.000005"/>
            </w:pPr>
            <w:r>
              <w:rPr>
                <w:sz w:val="22"/>
                <w:szCs w:val="22"/>
              </w:rPr>
              <w:t xml:space="preserve">Приложение</w:t>
            </w:r>
          </w:p>
          <w:p>
            <w:pPr>
              <w:spacing w:after="60"/>
            </w:pPr>
            <w:r>
              <w:rPr>
                <w:sz w:val="22"/>
                <w:szCs w:val="22"/>
              </w:rPr>
              <w:t xml:space="preserve">к Инструкции о порядке работы</w:t>
            </w:r>
            <w:br/>
            <w:r>
              <w:rPr>
                <w:sz w:val="22"/>
                <w:szCs w:val="22"/>
              </w:rPr>
              <w:t xml:space="preserve">с электронными документами</w:t>
            </w:r>
            <w:br/>
            <w:r>
              <w:rPr>
                <w:sz w:val="22"/>
                <w:szCs w:val="22"/>
              </w:rPr>
              <w:t xml:space="preserve">в государственных органах,</w:t>
            </w:r>
            <w:br/>
            <w:r>
              <w:rPr>
                <w:sz w:val="22"/>
                <w:szCs w:val="22"/>
              </w:rPr>
              <w:t xml:space="preserve">иных организациях</w:t>
            </w:r>
            <w:br/>
            <w:r>
              <w:rPr>
                <w:sz w:val="22"/>
                <w:szCs w:val="22"/>
              </w:rPr>
              <w:t xml:space="preserve">(в редакции постановления</w:t>
            </w:r>
            <w:br/>
            <w:r>
              <w:rPr>
                <w:sz w:val="22"/>
                <w:szCs w:val="22"/>
              </w:rPr>
              <w:t xml:space="preserve">Министерства юстиции</w:t>
            </w:r>
            <w:br/>
            <w:r>
              <w:rPr>
                <w:sz w:val="22"/>
                <w:szCs w:val="22"/>
              </w:rPr>
              <w:t xml:space="preserve">Республики Беларусь</w:t>
            </w:r>
            <w:br/>
            <w:r>
              <w:rPr>
                <w:sz w:val="22"/>
                <w:szCs w:val="22"/>
              </w:rPr>
              <w:t xml:space="preserve">30.08.2022 № 117)</w:t>
            </w:r>
          </w:p>
        </w:tc>
      </w:tr>
    </w:tbl>
    <w:p>
      <w:pPr>
        <w:jc w:val="left"/>
        <w:spacing w:before="240" w:after="240"/>
      </w:pPr>
      <w:r>
        <w:rPr>
          <w:sz w:val="24"/>
          <w:szCs w:val="24"/>
          <w:b/>
          <w:bCs/>
        </w:rPr>
        <w:t xml:space="preserve">СОСТАВ,</w:t>
      </w:r>
      <w:br/>
      <w:r>
        <w:rPr>
          <w:sz w:val="24"/>
          <w:szCs w:val="24"/>
          <w:b/>
          <w:bCs/>
        </w:rPr>
        <w:t xml:space="preserve">правила заполнения обязательных реквизитов РКК для входящих, исходящих и внутренних ЭД</w:t>
      </w:r>
    </w:p>
    <w:tbl>
      <w:tblGrid>
        <w:gridCol w:w="1666" w:type="dxa"/>
        <w:gridCol w:w="3334" w:type="dxa"/>
      </w:tblGrid>
      <w:tblPr>
        <w:tblW w:w="5000" w:type="pct"/>
        <w:tblLayout w:type="autofit"/>
        <w:tblBorders>
          <w:top w:val="single" w:sz="5" w:color="000000"/>
          <w:left w:val="single" w:sz="5" w:color="000000"/>
          <w:right w:val="single" w:sz="5" w:color="000000"/>
          <w:bottom w:val="single" w:sz="5" w:color="000000"/>
        </w:tblBorders>
      </w:tblPr>
      <w:tr>
        <w:trPr/>
        <w:tc>
          <w:tcPr>
            <w:tcW w:w="1666" w:type="pct"/>
            <w:vAlign w:val="center"/>
            <w:tcBorders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Реквизиты</w:t>
            </w:r>
          </w:p>
        </w:tc>
        <w:tc>
          <w:tcPr>
            <w:tcW w:w="3334" w:type="pct"/>
            <w:vAlign w:val="center"/>
            <w:tcBorders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Пояснения к заполнению</w:t>
            </w:r>
          </w:p>
        </w:tc>
      </w:tr>
      <w:tr>
        <w:trPr/>
        <w:tc>
          <w:tcPr>
            <w:tcW w:w="1666" w:type="pct"/>
            <w:vAlign w:val="center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3334" w:type="pct"/>
            <w:vAlign w:val="center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center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2</w:t>
            </w:r>
          </w:p>
        </w:tc>
      </w:tr>
      <w:tr>
        <w:trPr/>
        <w:tc>
          <w:tcPr>
            <w:tcW w:w="1666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Название вида ЭД (кроме писем)</w:t>
            </w:r>
          </w:p>
        </w:tc>
        <w:tc>
          <w:tcPr>
            <w:tcW w:w="3334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Заполняется из справочника АС ДОУ в соответствии с названием вида регистрируемого ЭД</w:t>
            </w:r>
          </w:p>
        </w:tc>
      </w:tr>
      <w:tr>
        <w:trPr/>
        <w:tc>
          <w:tcPr>
            <w:tcW w:w="1666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Наименование организации-автора</w:t>
            </w:r>
          </w:p>
        </w:tc>
        <w:tc>
          <w:tcPr>
            <w:tcW w:w="3334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При регистрации исходящего ЭД записывается средствами АС ДОУ наименование организации – автора ЭД. Допускается применение сокращенного наименования организации.</w:t>
            </w:r>
          </w:p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При регистрации входящего ЭД копируется при обработке поступившего информационного пакета или сообщения электронной почты</w:t>
            </w:r>
          </w:p>
        </w:tc>
      </w:tr>
      <w:tr>
        <w:trPr/>
        <w:tc>
          <w:tcPr>
            <w:tcW w:w="1666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Адресат</w:t>
            </w:r>
          </w:p>
        </w:tc>
        <w:tc>
          <w:tcPr>
            <w:tcW w:w="3334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При регистрации исходящего ЭД заполняется из справочника АС ДОУ или копируется наименование организации – адресата ЭД, указанное в общей части ЭД. При рассылке по списку включает весь список на рассылку.</w:t>
            </w:r>
          </w:p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При регистрации входящего ЭД копируется при обработке поступившего информационного пакета или сообщения электронной почты</w:t>
            </w:r>
          </w:p>
        </w:tc>
      </w:tr>
      <w:tr>
        <w:trPr/>
        <w:tc>
          <w:tcPr>
            <w:tcW w:w="1666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Наименование должности служащего, инициалы и фамилия лица, подписавшего (утвердившего)</w:t>
            </w:r>
          </w:p>
        </w:tc>
        <w:tc>
          <w:tcPr>
            <w:tcW w:w="3334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Заполняется на основании сертификата открытого ключа в процессе выработки ЭЦП или при регистрации исходящего ЭД.</w:t>
            </w:r>
          </w:p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При регистрации входящего ЭД копируется при обработке поступившего информационного пакета или сообщения электронной почты. Контролируется на основании соответствующего реквизита в общей части ЭД в процессе проверки ЭЦП</w:t>
            </w:r>
          </w:p>
        </w:tc>
      </w:tr>
      <w:tr>
        <w:trPr/>
        <w:tc>
          <w:tcPr>
            <w:tcW w:w="1666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Дата и регистрационный индекс</w:t>
            </w:r>
          </w:p>
        </w:tc>
        <w:tc>
          <w:tcPr>
            <w:tcW w:w="3334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При регистрации исходящего ЭД записываются дата и индекс, присвоенные средствами АС ДОУ.</w:t>
            </w:r>
          </w:p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При регистрации входящего ЭД – копируются при обработке поступившего информационного пакета или сообщения электронной почты</w:t>
            </w:r>
          </w:p>
        </w:tc>
      </w:tr>
      <w:tr>
        <w:trPr/>
        <w:tc>
          <w:tcPr>
            <w:tcW w:w="1666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Дата и индекс поступления</w:t>
            </w:r>
          </w:p>
        </w:tc>
        <w:tc>
          <w:tcPr>
            <w:tcW w:w="3334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Заполняются при регистрации входящего ЭД средствами АС ДОУ</w:t>
            </w:r>
          </w:p>
        </w:tc>
      </w:tr>
      <w:tr>
        <w:trPr/>
        <w:tc>
          <w:tcPr>
            <w:tcW w:w="1666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Заголовок (краткое содержание)</w:t>
            </w:r>
          </w:p>
        </w:tc>
        <w:tc>
          <w:tcPr>
            <w:tcW w:w="3334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При регистрации исходящего ЭД переносится заголовок, сформулированный в общей части ЭД. При регистрации входящего ЭД копируется при обработке поступившего информационного пакета или сообщения электронной почты.</w:t>
            </w:r>
          </w:p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Если заголовок полностью не раскрывает содержание ЭД, записывается его краткое содержание</w:t>
            </w:r>
          </w:p>
        </w:tc>
      </w:tr>
      <w:tr>
        <w:trPr/>
        <w:tc>
          <w:tcPr>
            <w:tcW w:w="1666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Резолюция или кому направлен (при наличии)</w:t>
            </w:r>
          </w:p>
        </w:tc>
        <w:tc>
          <w:tcPr>
            <w:tcW w:w="3334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Вводится руководителем собственноручно или уполномоченным лицом переносится текст резолюции руководителя</w:t>
            </w:r>
          </w:p>
        </w:tc>
      </w:tr>
      <w:tr>
        <w:trPr/>
        <w:tc>
          <w:tcPr>
            <w:tcW w:w="1666" w:type="pct"/>
            <w:vAlign w:val="top"/>
            <w:tcBorders>
              <w:top w:val="single" w:sz="5" w:color="000000"/>
              <w:righ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Срок исполнения (при наличии)</w:t>
            </w:r>
          </w:p>
        </w:tc>
        <w:tc>
          <w:tcPr>
            <w:tcW w:w="3334" w:type="pct"/>
            <w:vAlign w:val="top"/>
            <w:tcBorders>
              <w:top w:val="single" w:sz="5" w:color="000000"/>
              <w:left w:val="single" w:sz="5" w:color="000000"/>
              <w:bottom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Проставляется дата (число, месяц, год), к которой ЭД должен быть исполнен. При регистрации исходящего инициативного ЭД записывается дата ожидаемого ответа</w:t>
            </w:r>
          </w:p>
        </w:tc>
      </w:tr>
      <w:tr>
        <w:trPr/>
        <w:tc>
          <w:tcPr>
            <w:tcW w:w="1666" w:type="pct"/>
            <w:vAlign w:val="top"/>
            <w:tcBorders>
              <w:top w:val="single" w:sz="5" w:color="000000"/>
              <w:right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Отметка об исполнении и направлении его в дело</w:t>
            </w:r>
          </w:p>
        </w:tc>
        <w:tc>
          <w:tcPr>
            <w:tcW w:w="3334" w:type="pct"/>
            <w:vAlign w:val="top"/>
            <w:tcBorders>
              <w:top w:val="single" w:sz="5" w:color="000000"/>
              <w:left w:val="single" w:sz="5" w:color="000000"/>
            </w:tcBorders>
            <w:vMerge w:val="restart"/>
          </w:tcPr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Кратко записывается решение вопроса по существу, указываются дата и индекс ответного ЭД. Для ЭД, не требующих исполнения, указывается дата направления в электронное дело в соответствии с номенклатурой дел.</w:t>
            </w:r>
          </w:p>
          <w:p>
            <w:pPr>
              <w:jc w:val="left"/>
              <w:spacing w:before="45" w:after="45" w:line="240" w:lineRule="auto"/>
            </w:pPr>
            <w:r>
              <w:rPr>
                <w:sz w:val="20"/>
                <w:szCs w:val="20"/>
              </w:rPr>
              <w:t xml:space="preserve">Указывается индекс электронного дела по интегрированной в справочник АС ДОУ номенклатуре дел, в котором будет храниться ЭД после исполнения</w:t>
            </w:r>
          </w:p>
        </w:tc>
      </w:tr>
    </w:tbl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p>
      <w:pPr>
        <w:jc w:val="both"/>
        <w:ind w:left="0" w:right="0" w:firstLine="566.92913385827"/>
        <w:spacing w:after="60"/>
      </w:pPr>
      <w:r>
        <w:rPr>
          <w:sz w:val="24"/>
          <w:szCs w:val="24"/>
        </w:rPr>
        <w:t xml:space="preserve"> </w:t>
      </w:r>
    </w:p>
    <w:sectPr>
      <w:pgSz w:orient="portrait" w:w="11905.511811024" w:h="16837.795275591"/>
      <w:pgMar w:top="1440" w:right="566.92913385827" w:bottom="1440" w:left="1700.7874015748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2026-01-06T08:58:23+03:00</dcterms:created>
  <dcterms:modified xsi:type="dcterms:W3CDTF">2026-01-06T08:58:23+03:00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